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394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001198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</w:t>
      </w:r>
      <w:r>
        <w:rPr>
          <w:rFonts w:ascii="Times New Roman" w:eastAsia="Times New Roman" w:hAnsi="Times New Roman" w:cs="Times New Roman"/>
          <w:sz w:val="28"/>
          <w:szCs w:val="28"/>
        </w:rPr>
        <w:t>Михеева,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8810</w:t>
      </w:r>
      <w:r>
        <w:rPr>
          <w:rFonts w:ascii="Times New Roman" w:eastAsia="Times New Roman" w:hAnsi="Times New Roman" w:cs="Times New Roman"/>
          <w:sz w:val="28"/>
          <w:szCs w:val="28"/>
        </w:rPr>
        <w:t>5862</w:t>
      </w:r>
      <w:r>
        <w:rPr>
          <w:rFonts w:ascii="Times New Roman" w:eastAsia="Times New Roman" w:hAnsi="Times New Roman" w:cs="Times New Roman"/>
          <w:sz w:val="28"/>
          <w:szCs w:val="28"/>
        </w:rPr>
        <w:t>31005054386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деле имеется конверт с отметкой «истек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хранения».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</w:t>
      </w:r>
      <w:r>
        <w:rPr>
          <w:rFonts w:ascii="Times New Roman" w:eastAsia="Times New Roman" w:hAnsi="Times New Roman" w:cs="Times New Roman"/>
          <w:sz w:val="28"/>
          <w:szCs w:val="28"/>
        </w:rPr>
        <w:t>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материалам.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ХМ 613427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18810586231005054386 от 05.10.2023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его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подвергнуть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нистративному штрафу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00 </w:t>
      </w:r>
      <w:r>
        <w:rPr>
          <w:rFonts w:ascii="Times New Roman" w:eastAsia="Times New Roman" w:hAnsi="Times New Roman" w:cs="Times New Roman"/>
          <w:sz w:val="28"/>
          <w:szCs w:val="28"/>
        </w:rPr>
        <w:t>коп./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КПП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860101001, ОКТМО 71826000,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72011601203019000140,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003942420167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394-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.В. Михеева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2rplc-21">
    <w:name w:val="cat-UserDefined grp-32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